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02DD8" w:rsidRPr="00C02DD8" w:rsidRDefault="00C02DD8" w:rsidP="00C02DD8">
      <w:pPr>
        <w:rPr>
          <w:b/>
          <w:sz w:val="40"/>
          <w:szCs w:val="40"/>
          <w:lang w:val="fr-CH"/>
        </w:rPr>
      </w:pPr>
      <w:r w:rsidRPr="00C02DD8">
        <w:rPr>
          <w:b/>
          <w:sz w:val="40"/>
          <w:lang w:val="fr-CH"/>
        </w:rPr>
        <w:t>Communiqué aux médias</w:t>
      </w:r>
    </w:p>
    <w:p w:rsidR="00C02DD8" w:rsidRPr="00C02DD8" w:rsidRDefault="00C02DD8" w:rsidP="00C02DD8">
      <w:pPr>
        <w:rPr>
          <w:b/>
          <w:szCs w:val="22"/>
          <w:lang w:val="fr-CH"/>
        </w:rPr>
      </w:pPr>
    </w:p>
    <w:p w:rsidR="00C02DD8" w:rsidRPr="00C02DD8" w:rsidRDefault="00C02DD8" w:rsidP="00C02DD8">
      <w:pPr>
        <w:pStyle w:val="Textkrper"/>
        <w:rPr>
          <w:lang w:val="fr-CH"/>
        </w:rPr>
      </w:pPr>
      <w:r w:rsidRPr="00C02DD8">
        <w:rPr>
          <w:b/>
          <w:lang w:val="fr-CH"/>
        </w:rPr>
        <w:t>Date : xx.xx.2021</w:t>
      </w:r>
    </w:p>
    <w:p w:rsidR="00C02DD8" w:rsidRPr="00C02DD8" w:rsidRDefault="00C02DD8" w:rsidP="00C02DD8">
      <w:pPr>
        <w:pStyle w:val="Zwischenberschrift"/>
        <w:spacing w:before="0" w:after="0" w:line="240" w:lineRule="auto"/>
        <w:jc w:val="left"/>
        <w:rPr>
          <w:rFonts w:ascii="Arial" w:hAnsi="Arial" w:cs="Arial"/>
          <w:szCs w:val="22"/>
          <w:lang w:val="fr-CH"/>
        </w:rPr>
      </w:pPr>
    </w:p>
    <w:p w:rsidR="00C02DD8" w:rsidRPr="00C02DD8" w:rsidRDefault="00C02DD8" w:rsidP="00C02DD8">
      <w:pPr>
        <w:pStyle w:val="Zwischenberschrift"/>
        <w:spacing w:before="0" w:after="0" w:line="240" w:lineRule="auto"/>
        <w:jc w:val="left"/>
        <w:rPr>
          <w:rFonts w:ascii="Arial" w:hAnsi="Arial" w:cs="Arial"/>
          <w:szCs w:val="22"/>
          <w:lang w:val="fr-CH"/>
        </w:rPr>
      </w:pPr>
    </w:p>
    <w:p w:rsidR="00C02DD8" w:rsidRPr="00C02DD8" w:rsidRDefault="00C02DD8" w:rsidP="00C02DD8">
      <w:pPr>
        <w:spacing w:line="340" w:lineRule="atLeast"/>
        <w:jc w:val="both"/>
        <w:outlineLvl w:val="0"/>
        <w:rPr>
          <w:b/>
          <w:bCs/>
          <w:szCs w:val="22"/>
          <w:lang w:val="fr-CH"/>
        </w:rPr>
      </w:pPr>
    </w:p>
    <w:p w:rsidR="00C02DD8" w:rsidRPr="00C02DD8" w:rsidRDefault="00C02DD8" w:rsidP="00C02DD8">
      <w:pPr>
        <w:pStyle w:val="Zwischenberschrift"/>
        <w:spacing w:before="0" w:after="0"/>
        <w:jc w:val="left"/>
        <w:rPr>
          <w:rFonts w:ascii="Arial" w:hAnsi="Arial" w:cs="Arial"/>
          <w:color w:val="000000"/>
          <w:lang w:val="fr-CH"/>
        </w:rPr>
      </w:pPr>
      <w:r w:rsidRPr="00C02DD8">
        <w:rPr>
          <w:rFonts w:ascii="Arial" w:hAnsi="Arial"/>
          <w:color w:val="000000"/>
          <w:lang w:val="fr-CH"/>
        </w:rPr>
        <w:t>MCE d’AGRO :</w:t>
      </w:r>
    </w:p>
    <w:p w:rsidR="00C02DD8" w:rsidRPr="00C02DD8" w:rsidRDefault="00C02DD8" w:rsidP="00C02DD8">
      <w:pPr>
        <w:pStyle w:val="Headline"/>
        <w:rPr>
          <w:color w:val="000000"/>
          <w:sz w:val="28"/>
          <w:lang w:val="fr-CH"/>
        </w:rPr>
      </w:pPr>
      <w:r w:rsidRPr="00C02DD8">
        <w:rPr>
          <w:rFonts w:ascii="Arial" w:hAnsi="Arial"/>
          <w:color w:val="000000"/>
          <w:sz w:val="28"/>
          <w:lang w:val="fr-CH"/>
        </w:rPr>
        <w:t xml:space="preserve">Étanchéité garantie grâce à l’innovant presse-étoupe multiple </w:t>
      </w:r>
    </w:p>
    <w:p w:rsidR="00C02DD8" w:rsidRPr="00C02DD8" w:rsidRDefault="00C02DD8" w:rsidP="00C02DD8">
      <w:pPr>
        <w:pStyle w:val="Textkrper"/>
        <w:rPr>
          <w:lang w:val="fr-CH"/>
        </w:rPr>
      </w:pPr>
      <w:r w:rsidRPr="00C02DD8">
        <w:rPr>
          <w:lang w:val="fr-CH"/>
        </w:rPr>
        <w:t xml:space="preserve">La technique d’étanchéité éprouvée d’AGRO se rencontre désormais aussi dans les presse-étoupes multiples / Applications nombreuses dans les domaines les plus variés / Décharge de traction selon EN 62444 et étanchéité conforme à l’indice de protection IP68 / Robuste et sûr au montage et en service / Aucun besoin de substances auxiliaires ni de lubrifiants / Convient principalement à l’utilisation dans des conditions environnementales difficiles / </w:t>
      </w:r>
    </w:p>
    <w:p w:rsidR="00C02DD8" w:rsidRPr="00C02DD8" w:rsidRDefault="00C02DD8" w:rsidP="00C02DD8">
      <w:pPr>
        <w:pStyle w:val="Textkrper"/>
        <w:rPr>
          <w:lang w:val="fr-CH"/>
        </w:rPr>
      </w:pPr>
    </w:p>
    <w:p w:rsidR="00C02DD8" w:rsidRPr="00C02DD8" w:rsidRDefault="00C02DD8" w:rsidP="00C02DD8">
      <w:pPr>
        <w:spacing w:line="360" w:lineRule="auto"/>
        <w:jc w:val="both"/>
        <w:rPr>
          <w:rFonts w:cs="Arial"/>
          <w:color w:val="000000"/>
          <w:lang w:val="fr-CH"/>
        </w:rPr>
      </w:pPr>
      <w:proofErr w:type="spellStart"/>
      <w:r w:rsidRPr="00C02DD8">
        <w:rPr>
          <w:b/>
          <w:color w:val="000000"/>
          <w:lang w:val="fr-CH"/>
        </w:rPr>
        <w:t>Hunzenschwil</w:t>
      </w:r>
      <w:proofErr w:type="spellEnd"/>
      <w:r w:rsidRPr="00C02DD8">
        <w:rPr>
          <w:b/>
          <w:color w:val="000000"/>
          <w:lang w:val="fr-CH"/>
        </w:rPr>
        <w:t>.</w:t>
      </w:r>
      <w:r w:rsidRPr="00C02DD8">
        <w:rPr>
          <w:color w:val="000000"/>
          <w:lang w:val="fr-CH"/>
        </w:rPr>
        <w:t xml:space="preserve"> Le fabricant de presse-étoupes AGRO vient de mettre sur le marché une nouvelle génération de presse-étoupes multiples compacts destinés aux domaines d’application à exigences spécifiques. Avec le système MCE – Multi </w:t>
      </w:r>
      <w:proofErr w:type="spellStart"/>
      <w:r w:rsidRPr="00C02DD8">
        <w:rPr>
          <w:color w:val="000000"/>
          <w:lang w:val="fr-CH"/>
        </w:rPr>
        <w:t>Cable</w:t>
      </w:r>
      <w:proofErr w:type="spellEnd"/>
      <w:r w:rsidRPr="00C02DD8">
        <w:rPr>
          <w:color w:val="000000"/>
          <w:lang w:val="fr-CH"/>
        </w:rPr>
        <w:t xml:space="preserve"> Entry – le spécialiste de </w:t>
      </w:r>
      <w:proofErr w:type="spellStart"/>
      <w:r w:rsidRPr="00C02DD8">
        <w:rPr>
          <w:color w:val="000000"/>
          <w:lang w:val="fr-CH"/>
        </w:rPr>
        <w:t>Hunzenschwil</w:t>
      </w:r>
      <w:proofErr w:type="spellEnd"/>
      <w:r w:rsidRPr="00C02DD8">
        <w:rPr>
          <w:color w:val="000000"/>
          <w:lang w:val="fr-CH"/>
        </w:rPr>
        <w:t xml:space="preserve"> tire parti de sa technique de compression radiale des éléments d’étanchéité, éprouvée de longue date, en l’appliquant à un nouveau module de presse-étoupe offrant la possibilité d’une installation de câbles non </w:t>
      </w:r>
      <w:proofErr w:type="spellStart"/>
      <w:r w:rsidRPr="00C02DD8">
        <w:rPr>
          <w:color w:val="000000"/>
          <w:lang w:val="fr-CH"/>
        </w:rPr>
        <w:t>pré-assemblés</w:t>
      </w:r>
      <w:proofErr w:type="spellEnd"/>
      <w:r w:rsidRPr="00C02DD8">
        <w:rPr>
          <w:color w:val="000000"/>
          <w:lang w:val="fr-CH"/>
        </w:rPr>
        <w:t>. Ce système permet, en respectant la décharge de traction selon EN 62444, l’étanchéité conformément à l’indice de protection IP68, et la densité de conducteurs demandée en domotique, de passer plusieurs conducteurs individuels dans ou à travers une cloison, permettant ainsi de les installer dans des armoires de commande et de distribution, et offrant la possibilité d’un usage dans des domaines comme l’informatique, la mobilité, l’aéronautique, les techniques énergétiques et maritimes et dans l’industrie de transformation.</w:t>
      </w:r>
    </w:p>
    <w:p w:rsidR="00C02DD8" w:rsidRPr="00C02DD8" w:rsidRDefault="00C02DD8" w:rsidP="00C02DD8">
      <w:pPr>
        <w:spacing w:line="360" w:lineRule="auto"/>
        <w:jc w:val="both"/>
        <w:rPr>
          <w:rFonts w:cs="Arial"/>
          <w:color w:val="000000"/>
          <w:lang w:val="fr-CH"/>
        </w:rPr>
      </w:pPr>
    </w:p>
    <w:p w:rsidR="00C02DD8" w:rsidRPr="00C02DD8" w:rsidRDefault="00C02DD8" w:rsidP="00C02DD8">
      <w:pPr>
        <w:spacing w:line="360" w:lineRule="auto"/>
        <w:jc w:val="both"/>
        <w:rPr>
          <w:rFonts w:cs="Arial"/>
          <w:color w:val="000000"/>
          <w:lang w:val="fr-CH"/>
        </w:rPr>
      </w:pPr>
      <w:r w:rsidRPr="00C02DD8">
        <w:rPr>
          <w:color w:val="000000"/>
          <w:lang w:val="fr-CH"/>
        </w:rPr>
        <w:t>Ce système, extrêmement robuste et sûr, est constitué de deux demi-coques en aluminium résistant à la corrosion, qui existent en six variantes avec trois à dix passages et une plage de serrage de câble allant de 5.5 à 21 </w:t>
      </w:r>
      <w:proofErr w:type="spellStart"/>
      <w:r w:rsidRPr="00C02DD8">
        <w:rPr>
          <w:color w:val="000000"/>
          <w:lang w:val="fr-CH"/>
        </w:rPr>
        <w:t>mm.</w:t>
      </w:r>
      <w:proofErr w:type="spellEnd"/>
      <w:r w:rsidRPr="00C02DD8">
        <w:rPr>
          <w:color w:val="000000"/>
          <w:lang w:val="fr-CH"/>
        </w:rPr>
        <w:t xml:space="preserve"> L'assemblage des demi-coques en aluminium anodisé s’opère facilement et rapidement par l’avant, grâce à six vis de compression. Les éléments de forme en caoutchouc NBR, ayant fait leurs preuves dans les presse-étoupes AGRO, assurent la décharge de traction et une étanchéité sûre. Les joints sont fendus, de sorte à assurer un remplacement rapide en cas d’intervention du service de maintenance. La température</w:t>
      </w:r>
      <w:r w:rsidR="00407B30">
        <w:rPr>
          <w:color w:val="000000"/>
          <w:lang w:val="fr-CH"/>
        </w:rPr>
        <w:t xml:space="preserve"> d’utilisation se situe entre -3</w:t>
      </w:r>
      <w:r w:rsidRPr="00C02DD8">
        <w:rPr>
          <w:color w:val="000000"/>
          <w:lang w:val="fr-CH"/>
        </w:rPr>
        <w:t>0 et +10</w:t>
      </w:r>
      <w:r w:rsidR="00407B30">
        <w:rPr>
          <w:color w:val="000000"/>
          <w:lang w:val="fr-CH"/>
        </w:rPr>
        <w:t>5</w:t>
      </w:r>
      <w:bookmarkStart w:id="0" w:name="_GoBack"/>
      <w:bookmarkEnd w:id="0"/>
      <w:r w:rsidR="004966CF">
        <w:rPr>
          <w:color w:val="000000"/>
          <w:lang w:val="fr-CH"/>
        </w:rPr>
        <w:t xml:space="preserve"> </w:t>
      </w:r>
      <w:r w:rsidRPr="00C02DD8">
        <w:rPr>
          <w:color w:val="000000"/>
          <w:lang w:val="fr-CH"/>
        </w:rPr>
        <w:t xml:space="preserve">°C. Aucune substance auxiliaire ni lubrifiant ne sont requis pour le montage. Le système MCE est très compact et mesure seulement 148 x 79 x 26 </w:t>
      </w:r>
      <w:proofErr w:type="spellStart"/>
      <w:r w:rsidRPr="00C02DD8">
        <w:rPr>
          <w:color w:val="000000"/>
          <w:lang w:val="fr-CH"/>
        </w:rPr>
        <w:t>mm.</w:t>
      </w:r>
      <w:proofErr w:type="spellEnd"/>
    </w:p>
    <w:p w:rsidR="00C02DD8" w:rsidRPr="00C02DD8" w:rsidRDefault="00C02DD8" w:rsidP="00C02DD8">
      <w:pPr>
        <w:spacing w:line="360" w:lineRule="auto"/>
        <w:jc w:val="both"/>
        <w:rPr>
          <w:rFonts w:cs="Arial"/>
          <w:color w:val="000000"/>
          <w:lang w:val="fr-CH"/>
        </w:rPr>
      </w:pPr>
    </w:p>
    <w:p w:rsidR="00C02DD8" w:rsidRPr="00C02DD8" w:rsidRDefault="00C02DD8" w:rsidP="00C02DD8">
      <w:pPr>
        <w:spacing w:line="360" w:lineRule="auto"/>
        <w:jc w:val="both"/>
        <w:rPr>
          <w:rFonts w:cs="Arial"/>
          <w:color w:val="000000"/>
          <w:lang w:val="fr-CH"/>
        </w:rPr>
      </w:pPr>
      <w:r w:rsidRPr="00C02DD8">
        <w:rPr>
          <w:color w:val="000000"/>
          <w:lang w:val="fr-CH"/>
        </w:rPr>
        <w:lastRenderedPageBreak/>
        <w:t>Avec son nouveau presse-étoupe multiple, AGRO comble une lacune du marché, car les solutions existantes ne répondent pas aux valeurs exigées en matière de décharge de traction et d’étanchéité ou alors, leur montage est très complexe, ce qui se répercute rapidement sur les coûts totaux. Plutôt que de procéder à l’installation de presse-étoupes individuels, l’utilisateur peut désormais économiser de l’espace et profiter d’un montage efficace même dans les cas où l'installation est effectuée dans des espaces restreints. Grâce à leur robustesse et étanchéité élevées, les nouveaux presse-étoupes multiples conviennent particulièrement à une installation dans des conditions environnementales difficiles.</w:t>
      </w:r>
    </w:p>
    <w:p w:rsidR="00C02DD8" w:rsidRPr="00C02DD8" w:rsidRDefault="00C02DD8" w:rsidP="00C02DD8">
      <w:pPr>
        <w:spacing w:line="360" w:lineRule="auto"/>
        <w:jc w:val="both"/>
        <w:rPr>
          <w:rFonts w:cs="Arial"/>
          <w:color w:val="000000"/>
          <w:lang w:val="fr-CH"/>
        </w:rPr>
      </w:pPr>
    </w:p>
    <w:p w:rsidR="00C02DD8" w:rsidRPr="00C02DD8" w:rsidRDefault="00C02DD8" w:rsidP="00C02DD8">
      <w:pPr>
        <w:spacing w:line="360" w:lineRule="auto"/>
        <w:jc w:val="both"/>
        <w:rPr>
          <w:rFonts w:cs="Arial"/>
          <w:color w:val="000000"/>
          <w:lang w:val="fr-CH"/>
        </w:rPr>
      </w:pPr>
    </w:p>
    <w:p w:rsidR="00C02DD8" w:rsidRPr="00C02DD8" w:rsidRDefault="00C02DD8" w:rsidP="00C02DD8">
      <w:pPr>
        <w:spacing w:line="360" w:lineRule="auto"/>
        <w:jc w:val="both"/>
        <w:rPr>
          <w:rFonts w:cs="Arial"/>
          <w:color w:val="000000"/>
          <w:lang w:val="fr-CH"/>
        </w:rPr>
      </w:pPr>
    </w:p>
    <w:p w:rsidR="00C02DD8" w:rsidRPr="00C02DD8" w:rsidRDefault="00C02DD8" w:rsidP="00C02DD8">
      <w:pPr>
        <w:spacing w:line="340" w:lineRule="atLeast"/>
        <w:jc w:val="both"/>
        <w:rPr>
          <w:b/>
          <w:bCs/>
          <w:lang w:val="fr-CH"/>
        </w:rPr>
      </w:pPr>
      <w:r w:rsidRPr="00C02DD8">
        <w:rPr>
          <w:b/>
          <w:lang w:val="fr-CH"/>
        </w:rPr>
        <w:t>Systèmes d’installation électrique AGRO</w:t>
      </w:r>
    </w:p>
    <w:p w:rsidR="00C02DD8" w:rsidRPr="00C02DD8" w:rsidRDefault="00C02DD8" w:rsidP="00C02DD8">
      <w:pPr>
        <w:spacing w:line="340" w:lineRule="atLeast"/>
        <w:jc w:val="both"/>
        <w:rPr>
          <w:lang w:val="fr-CH"/>
        </w:rPr>
      </w:pPr>
      <w:proofErr w:type="gramStart"/>
      <w:r w:rsidRPr="00C02DD8">
        <w:rPr>
          <w:lang w:val="fr-CH"/>
        </w:rPr>
        <w:t>Encastré .</w:t>
      </w:r>
      <w:proofErr w:type="gramEnd"/>
      <w:r w:rsidRPr="00C02DD8">
        <w:rPr>
          <w:lang w:val="fr-CH"/>
        </w:rPr>
        <w:t xml:space="preserve"> Parois </w:t>
      </w:r>
      <w:proofErr w:type="gramStart"/>
      <w:r w:rsidRPr="00C02DD8">
        <w:rPr>
          <w:lang w:val="fr-CH"/>
        </w:rPr>
        <w:t>creuses .</w:t>
      </w:r>
      <w:proofErr w:type="gramEnd"/>
      <w:r w:rsidRPr="00C02DD8">
        <w:rPr>
          <w:lang w:val="fr-CH"/>
        </w:rPr>
        <w:t xml:space="preserve"> </w:t>
      </w:r>
      <w:proofErr w:type="gramStart"/>
      <w:r w:rsidRPr="00C02DD8">
        <w:rPr>
          <w:lang w:val="fr-CH"/>
        </w:rPr>
        <w:t>Béton .</w:t>
      </w:r>
      <w:proofErr w:type="gramEnd"/>
      <w:r w:rsidRPr="00C02DD8">
        <w:rPr>
          <w:lang w:val="fr-CH"/>
        </w:rPr>
        <w:t xml:space="preserve"> Boîtiers </w:t>
      </w:r>
      <w:proofErr w:type="gramStart"/>
      <w:r w:rsidRPr="00C02DD8">
        <w:rPr>
          <w:lang w:val="fr-CH"/>
        </w:rPr>
        <w:t>d'encastrement .</w:t>
      </w:r>
      <w:proofErr w:type="gramEnd"/>
      <w:r w:rsidRPr="00C02DD8">
        <w:rPr>
          <w:lang w:val="fr-CH"/>
        </w:rPr>
        <w:t xml:space="preserve"> Mise à la </w:t>
      </w:r>
      <w:proofErr w:type="gramStart"/>
      <w:r w:rsidRPr="00C02DD8">
        <w:rPr>
          <w:lang w:val="fr-CH"/>
        </w:rPr>
        <w:t>terre .</w:t>
      </w:r>
      <w:proofErr w:type="gramEnd"/>
      <w:r w:rsidRPr="00C02DD8">
        <w:rPr>
          <w:lang w:val="fr-CH"/>
        </w:rPr>
        <w:t xml:space="preserve"> Presse-</w:t>
      </w:r>
      <w:proofErr w:type="gramStart"/>
      <w:r w:rsidRPr="00C02DD8">
        <w:rPr>
          <w:lang w:val="fr-CH"/>
        </w:rPr>
        <w:t>étoupes .</w:t>
      </w:r>
      <w:proofErr w:type="gramEnd"/>
      <w:r w:rsidRPr="00C02DD8">
        <w:rPr>
          <w:lang w:val="fr-CH"/>
        </w:rPr>
        <w:t xml:space="preserve"> </w:t>
      </w:r>
      <w:proofErr w:type="gramStart"/>
      <w:r w:rsidRPr="00C02DD8">
        <w:rPr>
          <w:lang w:val="fr-CH"/>
        </w:rPr>
        <w:t>Outillage .</w:t>
      </w:r>
      <w:proofErr w:type="gramEnd"/>
      <w:r w:rsidRPr="00C02DD8">
        <w:rPr>
          <w:lang w:val="fr-CH"/>
        </w:rPr>
        <w:t xml:space="preserve"> Efficacité </w:t>
      </w:r>
      <w:proofErr w:type="gramStart"/>
      <w:r w:rsidRPr="00C02DD8">
        <w:rPr>
          <w:lang w:val="fr-CH"/>
        </w:rPr>
        <w:t>énergétique .</w:t>
      </w:r>
      <w:proofErr w:type="gramEnd"/>
      <w:r w:rsidRPr="00C02DD8">
        <w:rPr>
          <w:lang w:val="fr-CH"/>
        </w:rPr>
        <w:t xml:space="preserve"> Protection anti-</w:t>
      </w:r>
      <w:proofErr w:type="gramStart"/>
      <w:r w:rsidRPr="00C02DD8">
        <w:rPr>
          <w:lang w:val="fr-CH"/>
        </w:rPr>
        <w:t>incendie .</w:t>
      </w:r>
      <w:proofErr w:type="gramEnd"/>
      <w:r w:rsidRPr="00C02DD8">
        <w:rPr>
          <w:lang w:val="fr-CH"/>
        </w:rPr>
        <w:t xml:space="preserve"> </w:t>
      </w:r>
      <w:proofErr w:type="gramStart"/>
      <w:r w:rsidRPr="00C02DD8">
        <w:rPr>
          <w:lang w:val="fr-CH"/>
        </w:rPr>
        <w:t>Insonorisation .</w:t>
      </w:r>
      <w:proofErr w:type="gramEnd"/>
      <w:r w:rsidRPr="00C02DD8">
        <w:rPr>
          <w:lang w:val="fr-CH"/>
        </w:rPr>
        <w:t xml:space="preserve"> </w:t>
      </w:r>
      <w:proofErr w:type="gramStart"/>
      <w:r w:rsidRPr="00C02DD8">
        <w:rPr>
          <w:lang w:val="fr-CH"/>
        </w:rPr>
        <w:t>Radioprotection .</w:t>
      </w:r>
      <w:proofErr w:type="gramEnd"/>
      <w:r w:rsidRPr="00C02DD8">
        <w:rPr>
          <w:lang w:val="fr-CH"/>
        </w:rPr>
        <w:t xml:space="preserve"> Rénovation de bâtiments</w:t>
      </w:r>
    </w:p>
    <w:p w:rsidR="00C02DD8" w:rsidRPr="00C02DD8" w:rsidRDefault="00C02DD8" w:rsidP="00C02DD8">
      <w:pPr>
        <w:spacing w:line="340" w:lineRule="atLeast"/>
        <w:jc w:val="both"/>
        <w:rPr>
          <w:lang w:val="fr-CH"/>
        </w:rPr>
      </w:pPr>
    </w:p>
    <w:p w:rsidR="00C02DD8" w:rsidRPr="00C02DD8" w:rsidRDefault="00C02DD8" w:rsidP="00C02DD8">
      <w:pPr>
        <w:spacing w:line="340" w:lineRule="atLeast"/>
        <w:jc w:val="both"/>
        <w:rPr>
          <w:lang w:val="fr-CH"/>
        </w:rPr>
      </w:pPr>
      <w:r w:rsidRPr="00C02DD8">
        <w:rPr>
          <w:lang w:val="fr-CH"/>
        </w:rPr>
        <w:t xml:space="preserve">Pour en savoir plus : </w:t>
      </w:r>
    </w:p>
    <w:p w:rsidR="00C02DD8" w:rsidRPr="00C02DD8" w:rsidRDefault="00C02DD8" w:rsidP="00C02DD8">
      <w:pPr>
        <w:rPr>
          <w:bCs/>
          <w:lang w:val="fr-CH"/>
        </w:rPr>
      </w:pPr>
      <w:r w:rsidRPr="00C02DD8">
        <w:rPr>
          <w:lang w:val="fr-CH"/>
        </w:rPr>
        <w:t xml:space="preserve">&lt;&lt;1_MCE&gt;&gt; </w:t>
      </w:r>
    </w:p>
    <w:p w:rsidR="00174AF2" w:rsidRPr="00C02DD8" w:rsidRDefault="00174AF2" w:rsidP="007303DF">
      <w:pPr>
        <w:tabs>
          <w:tab w:val="left" w:pos="3060"/>
        </w:tabs>
        <w:rPr>
          <w:noProof/>
          <w:lang w:val="fr-CH" w:eastAsia="de-CH"/>
        </w:rPr>
      </w:pPr>
    </w:p>
    <w:p w:rsidR="00174AF2" w:rsidRPr="006F3852" w:rsidRDefault="006F3852" w:rsidP="007303DF">
      <w:pPr>
        <w:tabs>
          <w:tab w:val="left" w:pos="3060"/>
        </w:tabs>
        <w:rPr>
          <w:noProof/>
          <w:lang w:val="fr-CH" w:eastAsia="de-CH"/>
        </w:rPr>
      </w:pPr>
      <w:r>
        <w:rPr>
          <w:noProof/>
          <w:lang w:val="de-CH" w:eastAsia="de-CH"/>
        </w:rPr>
        <w:drawing>
          <wp:inline distT="0" distB="0" distL="0" distR="0" wp14:anchorId="709B5163" wp14:editId="118E414C">
            <wp:extent cx="2030730" cy="2030730"/>
            <wp:effectExtent l="0" t="0" r="0" b="0"/>
            <wp:docPr id="2" name="Grafik 2"/>
            <wp:cNvGraphicFramePr/>
            <a:graphic xmlns:a="http://schemas.openxmlformats.org/drawingml/2006/main">
              <a:graphicData uri="http://schemas.openxmlformats.org/drawingml/2006/picture">
                <pic:pic xmlns:pic="http://schemas.openxmlformats.org/drawingml/2006/picture">
                  <pic:nvPicPr>
                    <pic:cNvPr id="2" name="Grafik 2"/>
                    <pic:cNvPicPr/>
                  </pic:nvPicPr>
                  <pic:blipFill>
                    <a:blip r:embed="rId5" cstate="print">
                      <a:extLst>
                        <a:ext uri="{28A0092B-C50C-407E-A947-70E740481C1C}">
                          <a14:useLocalDpi xmlns:a14="http://schemas.microsoft.com/office/drawing/2010/main" val="0"/>
                        </a:ext>
                      </a:extLst>
                    </a:blip>
                    <a:stretch>
                      <a:fillRect/>
                    </a:stretch>
                  </pic:blipFill>
                  <pic:spPr>
                    <a:xfrm>
                      <a:off x="0" y="0"/>
                      <a:ext cx="2030730" cy="2030730"/>
                    </a:xfrm>
                    <a:prstGeom prst="rect">
                      <a:avLst/>
                    </a:prstGeom>
                  </pic:spPr>
                </pic:pic>
              </a:graphicData>
            </a:graphic>
          </wp:inline>
        </w:drawing>
      </w:r>
    </w:p>
    <w:p w:rsidR="00174AF2" w:rsidRPr="006F3852" w:rsidRDefault="00174AF2" w:rsidP="007303DF">
      <w:pPr>
        <w:tabs>
          <w:tab w:val="left" w:pos="3060"/>
        </w:tabs>
        <w:rPr>
          <w:lang w:val="fr-CH"/>
        </w:rPr>
      </w:pPr>
    </w:p>
    <w:p w:rsidR="00C02DD8" w:rsidRPr="00C02DD8" w:rsidRDefault="00C02DD8" w:rsidP="00C02DD8">
      <w:pPr>
        <w:tabs>
          <w:tab w:val="left" w:pos="3060"/>
        </w:tabs>
        <w:jc w:val="both"/>
        <w:rPr>
          <w:lang w:val="fr-CH"/>
        </w:rPr>
      </w:pPr>
      <w:r w:rsidRPr="00C02DD8">
        <w:rPr>
          <w:lang w:val="fr-CH"/>
        </w:rPr>
        <w:t>Grâce à ses performances, le presse-étoupe multiple MCE d’AGRO établit de nouveaux standards en matière d’étanchéité et de la sécurité des processus.</w:t>
      </w:r>
    </w:p>
    <w:p w:rsidR="00C02DD8" w:rsidRPr="00C02DD8" w:rsidRDefault="00C02DD8" w:rsidP="00C02DD8">
      <w:pPr>
        <w:tabs>
          <w:tab w:val="left" w:pos="3060"/>
        </w:tabs>
        <w:jc w:val="both"/>
        <w:rPr>
          <w:lang w:val="fr-CH"/>
        </w:rPr>
      </w:pPr>
    </w:p>
    <w:p w:rsidR="00C02DD8" w:rsidRPr="00C02DD8" w:rsidRDefault="00C02DD8" w:rsidP="00C02DD8">
      <w:pPr>
        <w:jc w:val="both"/>
        <w:rPr>
          <w:lang w:val="fr-CH"/>
        </w:rPr>
      </w:pPr>
    </w:p>
    <w:p w:rsidR="00C02DD8" w:rsidRPr="00FF07E2" w:rsidRDefault="00C02DD8" w:rsidP="00C02DD8">
      <w:pPr>
        <w:jc w:val="both"/>
      </w:pPr>
      <w:proofErr w:type="spellStart"/>
      <w:r w:rsidRPr="00FF07E2">
        <w:t>Photos</w:t>
      </w:r>
      <w:proofErr w:type="spellEnd"/>
      <w:r w:rsidRPr="00FF07E2">
        <w:t> : AGRO AG</w:t>
      </w:r>
    </w:p>
    <w:p w:rsidR="007C5B54" w:rsidRPr="00A8773C" w:rsidRDefault="007C5B54">
      <w:pPr>
        <w:rPr>
          <w:lang w:val="de-CH"/>
        </w:rPr>
      </w:pPr>
    </w:p>
    <w:p w:rsidR="007C5B54" w:rsidRPr="00A8773C" w:rsidRDefault="007C5B54">
      <w:pPr>
        <w:rPr>
          <w:lang w:val="de-CH"/>
        </w:rPr>
      </w:pPr>
    </w:p>
    <w:p w:rsidR="007C5B54" w:rsidRPr="00A8773C" w:rsidRDefault="007C5B54">
      <w:pPr>
        <w:rPr>
          <w:lang w:val="de-CH"/>
        </w:rPr>
      </w:pPr>
    </w:p>
    <w:p w:rsidR="007C5B54" w:rsidRPr="00A8773C" w:rsidRDefault="007C5B54">
      <w:pPr>
        <w:rPr>
          <w:lang w:val="de-CH"/>
        </w:rPr>
      </w:pPr>
    </w:p>
    <w:p w:rsidR="007C5B54" w:rsidRPr="00A8773C" w:rsidRDefault="007C5B54">
      <w:pPr>
        <w:rPr>
          <w:lang w:val="de-CH"/>
        </w:rPr>
      </w:pPr>
    </w:p>
    <w:p w:rsidR="007C5B54" w:rsidRDefault="007C5B54"/>
    <w:sectPr w:rsidR="007C5B54" w:rsidSect="004752C8">
      <w:pgSz w:w="11906" w:h="16838"/>
      <w:pgMar w:top="993"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NewsGoth BT">
    <w:altName w:val="Corbel"/>
    <w:charset w:val="00"/>
    <w:family w:val="swiss"/>
    <w:pitch w:val="variable"/>
    <w:sig w:usb0="00000001" w:usb1="00000000" w:usb2="00000000" w:usb3="00000000" w:csb0="0000001B" w:csb1="00000000"/>
  </w:font>
  <w:font w:name="Swis721 Md BT">
    <w:panose1 w:val="00000000000000000000"/>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C5B54"/>
    <w:rsid w:val="00004773"/>
    <w:rsid w:val="00010BE9"/>
    <w:rsid w:val="000321A0"/>
    <w:rsid w:val="00047A34"/>
    <w:rsid w:val="00054821"/>
    <w:rsid w:val="00060523"/>
    <w:rsid w:val="00075261"/>
    <w:rsid w:val="00096117"/>
    <w:rsid w:val="000B4D00"/>
    <w:rsid w:val="00174AF2"/>
    <w:rsid w:val="00187FBB"/>
    <w:rsid w:val="001A1B3C"/>
    <w:rsid w:val="001F2E52"/>
    <w:rsid w:val="00296A6C"/>
    <w:rsid w:val="002D7622"/>
    <w:rsid w:val="002E6B64"/>
    <w:rsid w:val="00351B4D"/>
    <w:rsid w:val="00364750"/>
    <w:rsid w:val="003A7139"/>
    <w:rsid w:val="003B0C04"/>
    <w:rsid w:val="003D7A45"/>
    <w:rsid w:val="0040474E"/>
    <w:rsid w:val="00407B30"/>
    <w:rsid w:val="00431E36"/>
    <w:rsid w:val="00450539"/>
    <w:rsid w:val="00456C3B"/>
    <w:rsid w:val="00474DCD"/>
    <w:rsid w:val="004752C8"/>
    <w:rsid w:val="004966CF"/>
    <w:rsid w:val="004B5C2C"/>
    <w:rsid w:val="004B63BD"/>
    <w:rsid w:val="004E413E"/>
    <w:rsid w:val="004F1211"/>
    <w:rsid w:val="005058C3"/>
    <w:rsid w:val="00550D23"/>
    <w:rsid w:val="00594689"/>
    <w:rsid w:val="005A0B26"/>
    <w:rsid w:val="0061677F"/>
    <w:rsid w:val="00635B6C"/>
    <w:rsid w:val="006754F3"/>
    <w:rsid w:val="006C072E"/>
    <w:rsid w:val="006F3852"/>
    <w:rsid w:val="00726C0C"/>
    <w:rsid w:val="007303DF"/>
    <w:rsid w:val="007C5B54"/>
    <w:rsid w:val="007D691A"/>
    <w:rsid w:val="00817DEA"/>
    <w:rsid w:val="008342C0"/>
    <w:rsid w:val="00846753"/>
    <w:rsid w:val="008A1F80"/>
    <w:rsid w:val="008F0926"/>
    <w:rsid w:val="008F1DD8"/>
    <w:rsid w:val="00903509"/>
    <w:rsid w:val="00910C6D"/>
    <w:rsid w:val="00984BE8"/>
    <w:rsid w:val="009F672C"/>
    <w:rsid w:val="00A47014"/>
    <w:rsid w:val="00A73718"/>
    <w:rsid w:val="00A86C77"/>
    <w:rsid w:val="00A8773C"/>
    <w:rsid w:val="00B304CB"/>
    <w:rsid w:val="00B6308D"/>
    <w:rsid w:val="00B67373"/>
    <w:rsid w:val="00B73BBA"/>
    <w:rsid w:val="00BA7303"/>
    <w:rsid w:val="00BB5E56"/>
    <w:rsid w:val="00BE6874"/>
    <w:rsid w:val="00C02DD8"/>
    <w:rsid w:val="00C21781"/>
    <w:rsid w:val="00C43E5E"/>
    <w:rsid w:val="00C54919"/>
    <w:rsid w:val="00C72462"/>
    <w:rsid w:val="00CA3453"/>
    <w:rsid w:val="00D04164"/>
    <w:rsid w:val="00D33380"/>
    <w:rsid w:val="00D53575"/>
    <w:rsid w:val="00D7477D"/>
    <w:rsid w:val="00DD1279"/>
    <w:rsid w:val="00DD68AF"/>
    <w:rsid w:val="00E6094F"/>
    <w:rsid w:val="00E65AA9"/>
    <w:rsid w:val="00E849CE"/>
    <w:rsid w:val="00EB6868"/>
    <w:rsid w:val="00F2778F"/>
    <w:rsid w:val="00F753BD"/>
    <w:rsid w:val="00F90603"/>
    <w:rsid w:val="00FD1517"/>
  </w:rsids>
  <m:mathPr>
    <m:mathFont m:val="Cambria Math"/>
    <m:brkBin m:val="before"/>
    <m:brkBinSub m:val="--"/>
    <m:smallFrac m:val="0"/>
    <m:dispDef/>
    <m:lMargin m:val="0"/>
    <m:rMargin m:val="0"/>
    <m:defJc m:val="centerGroup"/>
    <m:wrapIndent m:val="1440"/>
    <m:intLim m:val="subSup"/>
    <m:naryLim m:val="undOvr"/>
  </m:mathPr>
  <w:themeFontLang w:val="de-C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CFB8F9A-0E29-496F-A5E2-1F2EEC039C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de-CH"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7C5B54"/>
    <w:pPr>
      <w:spacing w:after="0" w:line="240" w:lineRule="auto"/>
    </w:pPr>
    <w:rPr>
      <w:rFonts w:ascii="Arial" w:eastAsia="Times New Roman" w:hAnsi="Arial" w:cs="Times New Roman"/>
      <w:szCs w:val="24"/>
      <w:lang w:val="de-DE" w:eastAsia="de-DE"/>
    </w:rPr>
  </w:style>
  <w:style w:type="paragraph" w:styleId="berschrift2">
    <w:name w:val="heading 2"/>
    <w:basedOn w:val="Standard"/>
    <w:next w:val="Standard"/>
    <w:link w:val="berschrift2Zchn"/>
    <w:qFormat/>
    <w:rsid w:val="007303DF"/>
    <w:pPr>
      <w:keepNext/>
      <w:jc w:val="both"/>
      <w:outlineLvl w:val="1"/>
    </w:pPr>
    <w:rPr>
      <w:rFonts w:ascii="NewsGoth BT" w:hAnsi="NewsGoth BT" w:cs="Arial"/>
      <w:b/>
      <w:bCs/>
      <w:szCs w:val="20"/>
      <w:lang w:val="de-CH"/>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Zwischenberschrift">
    <w:name w:val="Zwischenüberschrift"/>
    <w:basedOn w:val="Standard"/>
    <w:rsid w:val="007C5B54"/>
    <w:pPr>
      <w:spacing w:before="120" w:after="120" w:line="360" w:lineRule="auto"/>
      <w:jc w:val="both"/>
    </w:pPr>
    <w:rPr>
      <w:rFonts w:ascii="Swis721 Md BT" w:hAnsi="Swis721 Md BT"/>
      <w:b/>
      <w:szCs w:val="20"/>
    </w:rPr>
  </w:style>
  <w:style w:type="paragraph" w:customStyle="1" w:styleId="Headline">
    <w:name w:val="Headline"/>
    <w:basedOn w:val="Standard"/>
    <w:rsid w:val="007C5B54"/>
    <w:pPr>
      <w:spacing w:before="60" w:after="60" w:line="360" w:lineRule="auto"/>
    </w:pPr>
    <w:rPr>
      <w:rFonts w:ascii="Swis721 Md BT" w:hAnsi="Swis721 Md BT"/>
      <w:b/>
      <w:sz w:val="26"/>
      <w:szCs w:val="20"/>
    </w:rPr>
  </w:style>
  <w:style w:type="paragraph" w:styleId="Textkrper">
    <w:name w:val="Body Text"/>
    <w:basedOn w:val="Standard"/>
    <w:link w:val="TextkrperZchn"/>
    <w:semiHidden/>
    <w:rsid w:val="007C5B54"/>
    <w:pPr>
      <w:overflowPunct w:val="0"/>
      <w:autoSpaceDE w:val="0"/>
      <w:autoSpaceDN w:val="0"/>
      <w:adjustRightInd w:val="0"/>
      <w:spacing w:line="360" w:lineRule="auto"/>
      <w:jc w:val="both"/>
      <w:textAlignment w:val="baseline"/>
    </w:pPr>
    <w:rPr>
      <w:i/>
      <w:iCs/>
      <w:color w:val="000000"/>
      <w:szCs w:val="20"/>
      <w:u w:val="single"/>
    </w:rPr>
  </w:style>
  <w:style w:type="character" w:customStyle="1" w:styleId="TextkrperZchn">
    <w:name w:val="Textkörper Zchn"/>
    <w:basedOn w:val="Absatz-Standardschriftart"/>
    <w:link w:val="Textkrper"/>
    <w:semiHidden/>
    <w:rsid w:val="007C5B54"/>
    <w:rPr>
      <w:rFonts w:ascii="Arial" w:eastAsia="Times New Roman" w:hAnsi="Arial" w:cs="Times New Roman"/>
      <w:i/>
      <w:iCs/>
      <w:color w:val="000000"/>
      <w:szCs w:val="20"/>
      <w:u w:val="single"/>
      <w:lang w:val="de-DE" w:eastAsia="de-DE"/>
    </w:rPr>
  </w:style>
  <w:style w:type="character" w:customStyle="1" w:styleId="berschrift2Zchn">
    <w:name w:val="Überschrift 2 Zchn"/>
    <w:basedOn w:val="Absatz-Standardschriftart"/>
    <w:link w:val="berschrift2"/>
    <w:rsid w:val="007303DF"/>
    <w:rPr>
      <w:rFonts w:ascii="NewsGoth BT" w:eastAsia="Times New Roman" w:hAnsi="NewsGoth BT" w:cs="Arial"/>
      <w:b/>
      <w:bCs/>
      <w:szCs w:val="20"/>
      <w:lang w:eastAsia="de-DE"/>
    </w:rPr>
  </w:style>
  <w:style w:type="character" w:styleId="Hyperlink">
    <w:name w:val="Hyperlink"/>
    <w:semiHidden/>
    <w:rsid w:val="007303DF"/>
    <w:rPr>
      <w:color w:val="0000FF"/>
      <w:u w:val="single"/>
    </w:rPr>
  </w:style>
  <w:style w:type="paragraph" w:styleId="Sprechblasentext">
    <w:name w:val="Balloon Text"/>
    <w:basedOn w:val="Standard"/>
    <w:link w:val="SprechblasentextZchn"/>
    <w:uiPriority w:val="99"/>
    <w:semiHidden/>
    <w:unhideWhenUsed/>
    <w:rsid w:val="008342C0"/>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8342C0"/>
    <w:rPr>
      <w:rFonts w:ascii="Segoe UI" w:eastAsia="Times New Roman" w:hAnsi="Segoe UI" w:cs="Segoe UI"/>
      <w:sz w:val="18"/>
      <w:szCs w:val="18"/>
      <w:lang w:val="de-DE"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B812BD2-39D9-4839-905F-056ADB1AB4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494</Words>
  <Characters>3116</Characters>
  <Application>Microsoft Office Word</Application>
  <DocSecurity>0</DocSecurity>
  <Lines>25</Lines>
  <Paragraphs>7</Paragraphs>
  <ScaleCrop>false</ScaleCrop>
  <HeadingPairs>
    <vt:vector size="2" baseType="variant">
      <vt:variant>
        <vt:lpstr>Titel</vt:lpstr>
      </vt:variant>
      <vt:variant>
        <vt:i4>1</vt:i4>
      </vt:variant>
    </vt:vector>
  </HeadingPairs>
  <TitlesOfParts>
    <vt:vector size="1" baseType="lpstr">
      <vt:lpstr/>
    </vt:vector>
  </TitlesOfParts>
  <Company>KAISER-Group</Company>
  <LinksUpToDate>false</LinksUpToDate>
  <CharactersWithSpaces>3603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Bachmann Thomas</dc:creator>
  <cp:lastModifiedBy>Erismann Oliver</cp:lastModifiedBy>
  <cp:revision>6</cp:revision>
  <cp:lastPrinted>2021-09-27T14:28:00Z</cp:lastPrinted>
  <dcterms:created xsi:type="dcterms:W3CDTF">2021-11-11T06:35:00Z</dcterms:created>
  <dcterms:modified xsi:type="dcterms:W3CDTF">2021-11-23T07:32:00Z</dcterms:modified>
</cp:coreProperties>
</file>